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both"/>
        <w:outlineLvl w:val="0"/>
      </w:pPr>
    </w:p>
    <w:p w14:paraId="02000000">
      <w:pPr>
        <w:pStyle w:val="Style_1"/>
        <w:ind/>
        <w:jc w:val="right"/>
        <w:outlineLvl w:val="0"/>
        <w:rPr>
          <w:rFonts w:ascii="Times New Roman" w:hAnsi="Times New Roman"/>
          <w:sz w:val="28"/>
        </w:rPr>
      </w:pPr>
    </w:p>
    <w:tbl>
      <w:tblPr>
        <w:tblW w:type="auto" w:w="0"/>
        <w:tblInd w:type="dxa" w:w="543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649"/>
      </w:tblGrid>
      <w:tr>
        <w:tc>
          <w:tcPr>
            <w:tcW w:type="dxa" w:w="464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3000000">
            <w:pPr>
              <w:tabs>
                <w:tab w:leader="none" w:pos="4272" w:val="left"/>
              </w:tabs>
              <w:ind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04000000">
            <w:pPr>
              <w:ind/>
              <w:jc w:val="center"/>
              <w:rPr>
                <w:sz w:val="28"/>
              </w:rPr>
            </w:pPr>
          </w:p>
          <w:p w14:paraId="05000000">
            <w:pPr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14:paraId="06000000">
            <w:pPr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14:paraId="07000000">
            <w:pPr>
              <w:rPr>
                <w:sz w:val="28"/>
              </w:rPr>
            </w:pPr>
            <w:r>
              <w:rPr>
                <w:sz w:val="28"/>
              </w:rPr>
              <w:t xml:space="preserve">муниципального образования Туапсинский муниципальный </w:t>
            </w:r>
            <w:r>
              <w:rPr>
                <w:sz w:val="28"/>
              </w:rPr>
              <w:t>округ Краснодарского края</w:t>
            </w:r>
          </w:p>
          <w:p w14:paraId="08000000">
            <w:pPr>
              <w:rPr>
                <w:sz w:val="28"/>
              </w:rPr>
            </w:pPr>
            <w:r>
              <w:rPr>
                <w:sz w:val="28"/>
              </w:rPr>
              <w:t>от _______________ № _________</w:t>
            </w:r>
          </w:p>
          <w:p w14:paraId="09000000">
            <w:pPr>
              <w:ind/>
              <w:jc w:val="center"/>
              <w:rPr>
                <w:sz w:val="28"/>
              </w:rPr>
            </w:pPr>
          </w:p>
        </w:tc>
      </w:tr>
    </w:tbl>
    <w:p w14:paraId="0A000000">
      <w:pPr>
        <w:pStyle w:val="Style_1"/>
        <w:ind/>
        <w:jc w:val="right"/>
        <w:outlineLvl w:val="0"/>
        <w:rPr>
          <w:rFonts w:ascii="Times New Roman" w:hAnsi="Times New Roman"/>
          <w:sz w:val="28"/>
        </w:rPr>
      </w:pPr>
    </w:p>
    <w:p w14:paraId="0B000000">
      <w:pPr>
        <w:pStyle w:val="Style_1"/>
        <w:ind/>
        <w:jc w:val="right"/>
        <w:rPr>
          <w:rFonts w:ascii="Times New Roman" w:hAnsi="Times New Roman"/>
          <w:sz w:val="28"/>
        </w:rPr>
      </w:pPr>
    </w:p>
    <w:p w14:paraId="0C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0D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bookmarkStart w:id="1" w:name="P35"/>
      <w:bookmarkEnd w:id="1"/>
      <w:r>
        <w:rPr>
          <w:rFonts w:ascii="Times New Roman" w:hAnsi="Times New Roman"/>
          <w:b w:val="1"/>
          <w:sz w:val="28"/>
        </w:rPr>
        <w:t>ПОРЯДОК</w:t>
      </w:r>
    </w:p>
    <w:p w14:paraId="0E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предварительного уведомления </w:t>
      </w:r>
    </w:p>
    <w:p w14:paraId="0F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муниципальным служащим администрации </w:t>
      </w:r>
    </w:p>
    <w:p w14:paraId="10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Туапсинского муниципального округа представителя </w:t>
      </w:r>
    </w:p>
    <w:p w14:paraId="11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нанимателя (работодателя) о выполнении иной </w:t>
      </w:r>
    </w:p>
    <w:p w14:paraId="12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оплачиваемой работы </w:t>
      </w:r>
    </w:p>
    <w:p w14:paraId="13000000">
      <w:pPr>
        <w:pStyle w:val="Style_3"/>
        <w:ind/>
        <w:jc w:val="center"/>
        <w:rPr>
          <w:rFonts w:ascii="Times New Roman" w:hAnsi="Times New Roman"/>
          <w:sz w:val="28"/>
        </w:rPr>
      </w:pPr>
    </w:p>
    <w:p w14:paraId="14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15000000">
      <w:pPr>
        <w:pStyle w:val="Style_1"/>
        <w:numPr>
          <w:numId w:val="1"/>
        </w:num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Настоящий Порядок уведомления муниципальными служащими  администрации Туапсинского муниципального округа представителя нанимателя (работодателя) о намерении выполнять иную оплачиваемую работу (далее - Порядок) разработан в соответствии с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"https://login.consultant.ru/link/?req=doc&amp;base=LAW&amp;n=487004&amp;date=26.08.2025&amp;dst=100288&amp;field=134ОмуниципальнойслужбевРоссийскойФедерации{КонсультантПлюс}" \o "Федеральный закон от 02.03.2007 N 25-ФЗ (ред. от 30.09.2024)"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частью 2 статьи 11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Федерального закона от 2 марта 2007 года № 25-ФЗ «О муниципальной службе в Российской Федерации» с целью предотвращения конфликта интересов на муниципальной службе и устанавливает процедуру уведомления муниципальными служащими администрации Туапсинского муниципального округа представителя нанимателя (работодателя) о намерении выполнять иную оплачиваемую работу.</w:t>
      </w:r>
    </w:p>
    <w:p w14:paraId="16000000">
      <w:pPr>
        <w:pStyle w:val="Style_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Настоящий порядок распространяется на муниципальных служащих, замещающих должности муниципальной службы в администрации Туапсинского муниципального округа (далее – муниципальными служащими), где представителем нанимателя (работодателя) является глава Туапсинского муниципального округа.   </w:t>
      </w:r>
    </w:p>
    <w:p w14:paraId="17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3. </w:t>
      </w:r>
      <w:r>
        <w:rPr>
          <w:rFonts w:ascii="Times New Roman" w:hAnsi="Times New Roman"/>
          <w:sz w:val="28"/>
        </w:rPr>
        <w:t>Муниципальный служащий вправе с предварительного письменного уведомления представителя нанимателя (работодателя) выполнять иную оплачиваемую работу, если это не повлечет за собой конфликт интересов и если иное не предусмотрено законодательством.</w:t>
      </w:r>
    </w:p>
    <w:p w14:paraId="18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Предварительное письменное уведомление представителя нанимателя (работодателя) о выполнении иной оплачиваемой работы является должностной обязанностью муниципального служащего.</w:t>
      </w:r>
    </w:p>
    <w:p w14:paraId="19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4. Выполнение муниципальным служащим иной оплачиваемой работы должно осуществляться в свободное от основной работы время в соответствии с требованиями трудового законодательства о работе по совместительству. </w:t>
      </w:r>
    </w:p>
    <w:p w14:paraId="1A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5. Муниципальный служащий не позднее, чем за две недели до начала выполнения оплачиваемой работы, направляет представителю нанимателя (работодателю) уведомление в письменном виде по форме, согласно приложению 1 к настоящему Порядку.</w:t>
      </w:r>
    </w:p>
    <w:p w14:paraId="1B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Уведомление о намерении муниципального служащего выполнять иную оплачиваемую работу должно содержать следующие сведения:</w:t>
      </w:r>
    </w:p>
    <w:p w14:paraId="1C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и характеристику деятельности организации (учреждения), в которой предполагается осуществлять иную оплачиваемую работу;</w:t>
      </w:r>
    </w:p>
    <w:p w14:paraId="1D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должности по иной оплачиваемой работе, основные обязанности, описание характера работы;</w:t>
      </w:r>
    </w:p>
    <w:p w14:paraId="1E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предполагаемый график занятости (сроки и время выполнения иной оплачиваемой работы).</w:t>
      </w:r>
    </w:p>
    <w:p w14:paraId="1F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 уведомлению прикладывается копия трудового договора или договора гражданско-правового характера на выполнение иной оплачиваемой работы (в случае если такой договор не заключен на момент уведомления, соответствующая копия договора направляется представителю нанимателя (работодателю) в трехдневный срок с момента его заключения).</w:t>
      </w:r>
    </w:p>
    <w:p w14:paraId="20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6. </w:t>
      </w:r>
      <w:r>
        <w:rPr>
          <w:rFonts w:ascii="Times New Roman" w:hAnsi="Times New Roman"/>
          <w:sz w:val="28"/>
        </w:rPr>
        <w:t xml:space="preserve">Уведомление подлежит обязательному согласованию с непосредственным руководителем муниципального служащего. </w:t>
      </w:r>
      <w:r>
        <w:rPr>
          <w:rFonts w:ascii="Times New Roman" w:hAnsi="Times New Roman"/>
          <w:sz w:val="28"/>
        </w:rPr>
        <w:t xml:space="preserve">Мнение вышестоящих руководителей муниципального служащего должно подтверждать, что выполнение муниципальным служащим иной оплачиваемой работы не приведет к возникновению конфликта интересов  и предполагаемый график иной оплачиваемой работы не будет препятствовать исполнению должностных обязанностей муниципального служащего по основному месту работы. </w:t>
      </w:r>
    </w:p>
    <w:p w14:paraId="21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В случае если руководитель возражает против выполнения муниципальным служащим иной оплачиваемой работы, в бланке уведомления он обосновывает свое мнение о том, что иная оплачиваемая работа муниципального служащего приведет или может привести к возникновению конфликта интересов. </w:t>
      </w:r>
    </w:p>
    <w:p w14:paraId="22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7.  Уведомление передается муниципальным служащим в кадровую службу и подлежит регистрации в журнале по форме, согласно приложению 2 к настоящему Порядку.</w:t>
      </w:r>
    </w:p>
    <w:p w14:paraId="23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8. Заверенная копия уведомления подлежит направлению кадровой службой в течение трех дней в комиссию по соблюдению требований к служебному поведению муниципальных служащих и урегулированию </w:t>
      </w:r>
      <w:r>
        <w:rPr>
          <w:rFonts w:ascii="Times New Roman" w:hAnsi="Times New Roman"/>
          <w:sz w:val="28"/>
        </w:rPr>
        <w:t>конфликта интересов в администрации Туапсинского муниципального округа (далее – Комиссия).</w:t>
      </w:r>
    </w:p>
    <w:p w14:paraId="24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9. Комиссия принимает решение о наличии (отсутствия) конфликта интересов на муниципальной службе и соблюдении (несоблюдении) муниципальным служащим требований действующего законодательства Российской Федерации.</w:t>
      </w:r>
    </w:p>
    <w:p w14:paraId="25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10. </w:t>
      </w:r>
      <w:r>
        <w:rPr>
          <w:rFonts w:ascii="Times New Roman" w:hAnsi="Times New Roman"/>
          <w:sz w:val="28"/>
        </w:rPr>
        <w:t xml:space="preserve">В случае изменения графика выполнения иной оплачиваемой работы, а также иных обстоятельств, связанных с выполнением такой работы муниципальный служащий уведомляет представителя нанимателя (работодателя) в соответствии с настоящим порядком. </w:t>
      </w:r>
    </w:p>
    <w:p w14:paraId="26000000">
      <w:pPr>
        <w:pStyle w:val="Style_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11. Несоблюдение муниципальным служащим порядка предварительного уведомления представителя нанимателя (работодателя) о выполнении иной оплачиваемой работы является основанием для привлечении его в установленном порядке к дисциплинарной ответственности. </w:t>
      </w:r>
    </w:p>
    <w:p w14:paraId="27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Копия уведомления муниципального служащего о выполнении им иной оплачиваемой работы и соответствующего решения Комиссии (выписка из решения) приобщаются к личному делу муниципального служащего.</w:t>
      </w:r>
    </w:p>
    <w:p w14:paraId="28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29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2A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кадров</w:t>
      </w:r>
    </w:p>
    <w:p w14:paraId="2B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Туапсинского</w:t>
      </w:r>
    </w:p>
    <w:p w14:paraId="2C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М.А. Золотоверхова </w:t>
      </w:r>
    </w:p>
    <w:p w14:paraId="2D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2E000000">
      <w:pPr>
        <w:pStyle w:val="Style_1"/>
        <w:ind/>
        <w:jc w:val="right"/>
        <w:rPr>
          <w:rFonts w:ascii="Times New Roman" w:hAnsi="Times New Roman"/>
          <w:sz w:val="28"/>
        </w:rPr>
      </w:pPr>
    </w:p>
    <w:p w14:paraId="2F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0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1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2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3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4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5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6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7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8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9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A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B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C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D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E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3F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0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1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2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3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4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5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6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7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8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9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4A000000">
      <w:pPr>
        <w:pStyle w:val="Style_1"/>
        <w:ind/>
        <w:jc w:val="both"/>
        <w:rPr>
          <w:rFonts w:ascii="Times New Roman" w:hAnsi="Times New Roman"/>
          <w:sz w:val="28"/>
        </w:rPr>
      </w:pPr>
    </w:p>
    <w:sectPr>
      <w:pgSz w:h="16848" w:orient="portrait" w:w="11908"/>
      <w:pgMar w:bottom="1134" w:footer="0" w:gutter="0" w:header="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ConsPlusNormal"/>
    <w:link w:val="Style_1_ch"/>
    <w:pPr>
      <w:widowControl w:val="0"/>
      <w:ind/>
    </w:pPr>
    <w:rPr>
      <w:rFonts w:ascii="Times New Roman" w:hAnsi="Times New Roman"/>
      <w:sz w:val="24"/>
    </w:rPr>
  </w:style>
  <w:style w:default="1" w:styleId="Style_1_ch" w:type="character">
    <w:name w:val="ConsPlusNormal"/>
    <w:link w:val="Style_1"/>
    <w:rPr>
      <w:rFonts w:ascii="Times New Roman" w:hAnsi="Times New Roman"/>
      <w:sz w:val="24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ConsPlusJurTerm"/>
    <w:link w:val="Style_5_ch"/>
    <w:pPr>
      <w:widowControl w:val="0"/>
      <w:ind/>
    </w:pPr>
    <w:rPr>
      <w:rFonts w:ascii="Tahoma" w:hAnsi="Tahoma"/>
      <w:sz w:val="26"/>
    </w:rPr>
  </w:style>
  <w:style w:styleId="Style_5_ch" w:type="character">
    <w:name w:val="ConsPlusJurTerm"/>
    <w:link w:val="Style_5"/>
    <w:rPr>
      <w:rFonts w:ascii="Tahoma" w:hAnsi="Tahoma"/>
      <w:sz w:val="26"/>
    </w:rPr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2" w:type="paragraph">
    <w:name w:val="Normal"/>
    <w:link w:val="Style_2_ch"/>
    <w:uiPriority w:val="0"/>
    <w:qFormat/>
  </w:style>
  <w:style w:styleId="Style_2_ch" w:type="character">
    <w:name w:val="Normal"/>
    <w:link w:val="Style_2"/>
  </w:style>
  <w:style w:styleId="Style_9" w:type="paragraph">
    <w:name w:val="ConsPlusDocList"/>
    <w:link w:val="Style_9_ch"/>
    <w:pPr>
      <w:widowControl w:val="0"/>
      <w:ind/>
    </w:pPr>
    <w:rPr>
      <w:rFonts w:ascii="Tahoma" w:hAnsi="Tahoma"/>
      <w:sz w:val="18"/>
    </w:rPr>
  </w:style>
  <w:style w:styleId="Style_9_ch" w:type="character">
    <w:name w:val="ConsPlusDocList"/>
    <w:link w:val="Style_9"/>
    <w:rPr>
      <w:rFonts w:ascii="Tahoma" w:hAnsi="Tahoma"/>
      <w:sz w:val="1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2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ConsPlusTitle"/>
    <w:link w:val="Style_12_ch"/>
    <w:pPr>
      <w:widowControl w:val="0"/>
      <w:ind/>
    </w:pPr>
    <w:rPr>
      <w:rFonts w:ascii="Arial" w:hAnsi="Arial"/>
      <w:b w:val="1"/>
      <w:sz w:val="24"/>
    </w:rPr>
  </w:style>
  <w:style w:styleId="Style_12_ch" w:type="character">
    <w:name w:val="ConsPlusTitle"/>
    <w:link w:val="Style_12"/>
    <w:rPr>
      <w:rFonts w:ascii="Arial" w:hAnsi="Arial"/>
      <w:b w:val="1"/>
      <w:sz w:val="24"/>
    </w:rPr>
  </w:style>
  <w:style w:styleId="Style_13" w:type="paragraph">
    <w:name w:val="ConsPlusDocList"/>
    <w:link w:val="Style_13_ch"/>
    <w:pPr>
      <w:widowControl w:val="0"/>
      <w:ind/>
    </w:pPr>
    <w:rPr>
      <w:rFonts w:ascii="Tahoma" w:hAnsi="Tahoma"/>
      <w:sz w:val="18"/>
    </w:rPr>
  </w:style>
  <w:style w:styleId="Style_13_ch" w:type="character">
    <w:name w:val="ConsPlusDocList"/>
    <w:link w:val="Style_13"/>
    <w:rPr>
      <w:rFonts w:ascii="Tahoma" w:hAnsi="Tahoma"/>
      <w:sz w:val="18"/>
    </w:rPr>
  </w:style>
  <w:style w:styleId="Style_14" w:type="paragraph">
    <w:name w:val="ConsPlusTextList"/>
    <w:link w:val="Style_14_ch"/>
    <w:pPr>
      <w:widowControl w:val="0"/>
      <w:ind/>
    </w:pPr>
    <w:rPr>
      <w:rFonts w:ascii="Times New Roman" w:hAnsi="Times New Roman"/>
      <w:sz w:val="24"/>
    </w:rPr>
  </w:style>
  <w:style w:styleId="Style_14_ch" w:type="character">
    <w:name w:val="ConsPlusTextList"/>
    <w:link w:val="Style_14"/>
    <w:rPr>
      <w:rFonts w:ascii="Times New Roman" w:hAnsi="Times New Roman"/>
      <w:sz w:val="24"/>
    </w:rPr>
  </w:style>
  <w:style w:styleId="Style_15" w:type="paragraph">
    <w:name w:val="ConsPlusCell"/>
    <w:link w:val="Style_15_ch"/>
    <w:pPr>
      <w:widowControl w:val="0"/>
      <w:ind/>
    </w:pPr>
    <w:rPr>
      <w:rFonts w:ascii="Courier New" w:hAnsi="Courier New"/>
      <w:sz w:val="20"/>
    </w:rPr>
  </w:style>
  <w:style w:styleId="Style_15_ch" w:type="character">
    <w:name w:val="ConsPlusCell"/>
    <w:link w:val="Style_15"/>
    <w:rPr>
      <w:rFonts w:ascii="Courier New" w:hAnsi="Courier New"/>
      <w:sz w:val="20"/>
    </w:rPr>
  </w:style>
  <w:style w:styleId="Style_16" w:type="paragraph">
    <w:name w:val="ConsPlusTitlePage"/>
    <w:link w:val="Style_16_ch"/>
    <w:pPr>
      <w:widowControl w:val="0"/>
      <w:ind/>
    </w:pPr>
    <w:rPr>
      <w:rFonts w:ascii="Tahoma" w:hAnsi="Tahoma"/>
      <w:sz w:val="20"/>
    </w:rPr>
  </w:style>
  <w:style w:styleId="Style_16_ch" w:type="character">
    <w:name w:val="ConsPlusTitlePage"/>
    <w:link w:val="Style_16"/>
    <w:rPr>
      <w:rFonts w:ascii="Tahoma" w:hAnsi="Tahoma"/>
      <w:sz w:val="20"/>
    </w:rPr>
  </w:style>
  <w:style w:styleId="Style_17" w:type="paragraph">
    <w:name w:val="ConsPlusJurTerm"/>
    <w:link w:val="Style_17_ch"/>
    <w:pPr>
      <w:widowControl w:val="0"/>
      <w:ind/>
    </w:pPr>
    <w:rPr>
      <w:rFonts w:ascii="Tahoma" w:hAnsi="Tahoma"/>
      <w:sz w:val="26"/>
    </w:rPr>
  </w:style>
  <w:style w:styleId="Style_17_ch" w:type="character">
    <w:name w:val="ConsPlusJurTerm"/>
    <w:link w:val="Style_17"/>
    <w:rPr>
      <w:rFonts w:ascii="Tahoma" w:hAnsi="Tahoma"/>
      <w:sz w:val="26"/>
    </w:rPr>
  </w:style>
  <w:style w:styleId="Style_18" w:type="paragraph">
    <w:name w:val="ConsPlusTextList"/>
    <w:link w:val="Style_18_ch"/>
    <w:pPr>
      <w:widowControl w:val="0"/>
      <w:ind/>
    </w:pPr>
    <w:rPr>
      <w:rFonts w:ascii="Times New Roman" w:hAnsi="Times New Roman"/>
      <w:sz w:val="24"/>
    </w:rPr>
  </w:style>
  <w:style w:styleId="Style_18_ch" w:type="character">
    <w:name w:val="ConsPlusTextList"/>
    <w:link w:val="Style_18"/>
    <w:rPr>
      <w:rFonts w:ascii="Times New Roman" w:hAnsi="Times New Roman"/>
      <w:sz w:val="24"/>
    </w:rPr>
  </w:style>
  <w:style w:styleId="Style_19" w:type="paragraph">
    <w:name w:val="toc 3"/>
    <w:next w:val="Style_2"/>
    <w:link w:val="Style_1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ConsPlusTitlePage"/>
    <w:link w:val="Style_20_ch"/>
    <w:pPr>
      <w:widowControl w:val="0"/>
      <w:ind/>
    </w:pPr>
    <w:rPr>
      <w:rFonts w:ascii="Tahoma" w:hAnsi="Tahoma"/>
      <w:sz w:val="20"/>
    </w:rPr>
  </w:style>
  <w:style w:styleId="Style_20_ch" w:type="character">
    <w:name w:val="ConsPlusTitlePage"/>
    <w:link w:val="Style_20"/>
    <w:rPr>
      <w:rFonts w:ascii="Tahoma" w:hAnsi="Tahoma"/>
      <w:sz w:val="20"/>
    </w:rPr>
  </w:style>
  <w:style w:styleId="Style_21" w:type="paragraph">
    <w:name w:val="heading 5"/>
    <w:next w:val="Style_2"/>
    <w:link w:val="Style_2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heading 1"/>
    <w:next w:val="Style_2"/>
    <w:link w:val="Style_2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2_ch" w:type="character">
    <w:name w:val="heading 1"/>
    <w:link w:val="Style_22"/>
    <w:rPr>
      <w:rFonts w:ascii="XO Thames" w:hAnsi="XO Thames"/>
      <w:b w:val="1"/>
      <w:sz w:val="32"/>
    </w:rPr>
  </w:style>
  <w:style w:styleId="Style_23" w:type="paragraph">
    <w:name w:val="Hyperlink"/>
    <w:link w:val="Style_23_ch"/>
    <w:rPr>
      <w:color w:val="0000FF"/>
      <w:u w:val="single"/>
    </w:rPr>
  </w:style>
  <w:style w:styleId="Style_23_ch" w:type="character">
    <w:name w:val="Hyperlink"/>
    <w:link w:val="Style_23"/>
    <w:rPr>
      <w:color w:val="0000FF"/>
      <w:u w:val="single"/>
    </w:rPr>
  </w:style>
  <w:style w:styleId="Style_24" w:type="paragraph">
    <w:name w:val="Footnote"/>
    <w:link w:val="Style_24_ch"/>
    <w:pPr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25" w:type="paragraph">
    <w:name w:val="toc 1"/>
    <w:next w:val="Style_2"/>
    <w:link w:val="Style_2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Header and Footer"/>
    <w:link w:val="Style_26_ch"/>
    <w:pPr>
      <w:spacing w:line="240" w:lineRule="auto"/>
      <w:ind/>
      <w:jc w:val="both"/>
    </w:pPr>
    <w:rPr>
      <w:rFonts w:ascii="XO Thames" w:hAnsi="XO Thames"/>
      <w:sz w:val="28"/>
    </w:rPr>
  </w:style>
  <w:style w:styleId="Style_26_ch" w:type="character">
    <w:name w:val="Header and Footer"/>
    <w:link w:val="Style_26"/>
    <w:rPr>
      <w:rFonts w:ascii="XO Thames" w:hAnsi="XO Thames"/>
      <w:sz w:val="28"/>
    </w:rPr>
  </w:style>
  <w:style w:styleId="Style_27" w:type="paragraph">
    <w:name w:val="toc 9"/>
    <w:next w:val="Style_2"/>
    <w:link w:val="Style_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8" w:type="paragraph">
    <w:name w:val="ConsPlusTextList"/>
    <w:link w:val="Style_28_ch"/>
    <w:pPr>
      <w:widowControl w:val="0"/>
      <w:ind/>
    </w:pPr>
    <w:rPr>
      <w:rFonts w:ascii="Times New Roman" w:hAnsi="Times New Roman"/>
      <w:sz w:val="24"/>
    </w:rPr>
  </w:style>
  <w:style w:styleId="Style_28_ch" w:type="character">
    <w:name w:val="ConsPlusTextList"/>
    <w:link w:val="Style_28"/>
    <w:rPr>
      <w:rFonts w:ascii="Times New Roman" w:hAnsi="Times New Roman"/>
      <w:sz w:val="24"/>
    </w:rPr>
  </w:style>
  <w:style w:styleId="Style_29" w:type="paragraph">
    <w:name w:val="toc 8"/>
    <w:next w:val="Style_2"/>
    <w:link w:val="Style_2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9_ch" w:type="character">
    <w:name w:val="toc 8"/>
    <w:link w:val="Style_29"/>
    <w:rPr>
      <w:rFonts w:ascii="XO Thames" w:hAnsi="XO Thames"/>
      <w:sz w:val="28"/>
    </w:rPr>
  </w:style>
  <w:style w:styleId="Style_3" w:type="paragraph">
    <w:name w:val="ConsPlusTitle"/>
    <w:link w:val="Style_3_ch"/>
    <w:pPr>
      <w:widowControl w:val="0"/>
      <w:ind/>
    </w:pPr>
    <w:rPr>
      <w:rFonts w:ascii="Arial" w:hAnsi="Arial"/>
      <w:b w:val="1"/>
      <w:sz w:val="24"/>
    </w:rPr>
  </w:style>
  <w:style w:styleId="Style_3_ch" w:type="character">
    <w:name w:val="ConsPlusTitle"/>
    <w:link w:val="Style_3"/>
    <w:rPr>
      <w:rFonts w:ascii="Arial" w:hAnsi="Arial"/>
      <w:b w:val="1"/>
      <w:sz w:val="24"/>
    </w:rPr>
  </w:style>
  <w:style w:styleId="Style_30" w:type="paragraph">
    <w:name w:val="ConsPlusNonformat"/>
    <w:link w:val="Style_30_ch"/>
    <w:pPr>
      <w:widowControl w:val="0"/>
      <w:ind/>
    </w:pPr>
    <w:rPr>
      <w:rFonts w:ascii="Courier New" w:hAnsi="Courier New"/>
      <w:sz w:val="20"/>
    </w:rPr>
  </w:style>
  <w:style w:styleId="Style_30_ch" w:type="character">
    <w:name w:val="ConsPlusNonformat"/>
    <w:link w:val="Style_30"/>
    <w:rPr>
      <w:rFonts w:ascii="Courier New" w:hAnsi="Courier New"/>
      <w:sz w:val="20"/>
    </w:rPr>
  </w:style>
  <w:style w:styleId="Style_31" w:type="paragraph">
    <w:name w:val="toc 5"/>
    <w:next w:val="Style_2"/>
    <w:link w:val="Style_3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ConsPlusCell"/>
    <w:link w:val="Style_32_ch"/>
    <w:pPr>
      <w:widowControl w:val="0"/>
      <w:ind/>
    </w:pPr>
    <w:rPr>
      <w:rFonts w:ascii="Courier New" w:hAnsi="Courier New"/>
      <w:sz w:val="20"/>
    </w:rPr>
  </w:style>
  <w:style w:styleId="Style_32_ch" w:type="character">
    <w:name w:val="ConsPlusCell"/>
    <w:link w:val="Style_32"/>
    <w:rPr>
      <w:rFonts w:ascii="Courier New" w:hAnsi="Courier New"/>
      <w:sz w:val="20"/>
    </w:rPr>
  </w:style>
  <w:style w:styleId="Style_33" w:type="paragraph">
    <w:name w:val="Subtitle"/>
    <w:next w:val="Style_2"/>
    <w:link w:val="Style_3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3_ch" w:type="character">
    <w:name w:val="Subtitle"/>
    <w:link w:val="Style_33"/>
    <w:rPr>
      <w:rFonts w:ascii="XO Thames" w:hAnsi="XO Thames"/>
      <w:i w:val="1"/>
      <w:sz w:val="24"/>
    </w:rPr>
  </w:style>
  <w:style w:styleId="Style_34" w:type="paragraph">
    <w:name w:val="Title"/>
    <w:next w:val="Style_2"/>
    <w:link w:val="Style_3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4_ch" w:type="character">
    <w:name w:val="Title"/>
    <w:link w:val="Style_34"/>
    <w:rPr>
      <w:rFonts w:ascii="XO Thames" w:hAnsi="XO Thames"/>
      <w:b w:val="1"/>
      <w:caps w:val="1"/>
      <w:sz w:val="40"/>
    </w:rPr>
  </w:style>
  <w:style w:styleId="Style_35" w:type="paragraph">
    <w:name w:val="heading 4"/>
    <w:next w:val="Style_2"/>
    <w:link w:val="Style_3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5_ch" w:type="character">
    <w:name w:val="heading 4"/>
    <w:link w:val="Style_35"/>
    <w:rPr>
      <w:rFonts w:ascii="XO Thames" w:hAnsi="XO Thames"/>
      <w:b w:val="1"/>
      <w:sz w:val="24"/>
    </w:rPr>
  </w:style>
  <w:style w:styleId="Style_36" w:type="paragraph">
    <w:name w:val="ConsPlusTextList"/>
    <w:link w:val="Style_36_ch"/>
    <w:pPr>
      <w:widowControl w:val="0"/>
      <w:ind/>
    </w:pPr>
    <w:rPr>
      <w:rFonts w:ascii="Times New Roman" w:hAnsi="Times New Roman"/>
      <w:sz w:val="24"/>
    </w:rPr>
  </w:style>
  <w:style w:styleId="Style_36_ch" w:type="character">
    <w:name w:val="ConsPlusTextList"/>
    <w:link w:val="Style_36"/>
    <w:rPr>
      <w:rFonts w:ascii="Times New Roman" w:hAnsi="Times New Roman"/>
      <w:sz w:val="24"/>
    </w:rPr>
  </w:style>
  <w:style w:styleId="Style_37" w:type="paragraph">
    <w:name w:val="ConsPlusNonformat"/>
    <w:link w:val="Style_37_ch"/>
    <w:pPr>
      <w:widowControl w:val="0"/>
      <w:ind/>
    </w:pPr>
    <w:rPr>
      <w:rFonts w:ascii="Courier New" w:hAnsi="Courier New"/>
      <w:sz w:val="20"/>
    </w:rPr>
  </w:style>
  <w:style w:styleId="Style_37_ch" w:type="character">
    <w:name w:val="ConsPlusNonformat"/>
    <w:link w:val="Style_37"/>
    <w:rPr>
      <w:rFonts w:ascii="Courier New" w:hAnsi="Courier New"/>
      <w:sz w:val="20"/>
    </w:rPr>
  </w:style>
  <w:style w:styleId="Style_38" w:type="paragraph">
    <w:name w:val="heading 2"/>
    <w:next w:val="Style_2"/>
    <w:link w:val="Style_3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8_ch" w:type="character">
    <w:name w:val="heading 2"/>
    <w:link w:val="Style_38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2025-09-02T07:57:17Z</dcterms:modified>
</cp:coreProperties>
</file>